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552C8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44E10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F44E10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44E10">
          <w:rPr>
            <w:b/>
            <w:noProof/>
            <w:sz w:val="24"/>
          </w:rPr>
          <w:t>122-bis</w:t>
        </w:r>
      </w:fldSimple>
      <w:r>
        <w:rPr>
          <w:b/>
          <w:i/>
          <w:noProof/>
          <w:sz w:val="28"/>
        </w:rPr>
        <w:tab/>
      </w:r>
      <w:r w:rsidR="00637FF1" w:rsidRPr="00637FF1">
        <w:rPr>
          <w:b/>
          <w:noProof/>
          <w:sz w:val="24"/>
        </w:rPr>
        <w:t>R1-2507893</w:t>
      </w:r>
      <w:r w:rsidR="00637FF1" w:rsidDel="00637FF1">
        <w:t xml:space="preserve"> </w:t>
      </w:r>
    </w:p>
    <w:p w14:paraId="7CB45193" w14:textId="6244E721" w:rsidR="001E41F3" w:rsidRDefault="00F44E1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>
          <w:rPr>
            <w:b/>
            <w:noProof/>
            <w:sz w:val="24"/>
          </w:rPr>
          <w:t>zechia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October 13</w:t>
        </w:r>
        <w:r w:rsidRPr="00F44E10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17</w:t>
        </w:r>
        <w:r w:rsidRPr="00F44E10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7899247" w:rsidR="001E41F3" w:rsidRDefault="00F44E10">
            <w:pPr>
              <w:pStyle w:val="CRCoverPage"/>
              <w:spacing w:after="0"/>
              <w:jc w:val="center"/>
              <w:rPr>
                <w:noProof/>
              </w:rPr>
            </w:pPr>
            <w:r w:rsidRPr="00F44E10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8C5219" w:rsidR="001E41F3" w:rsidRPr="00410371" w:rsidRDefault="00F44E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A87F3A" w:rsidR="001E41F3" w:rsidRPr="00410371" w:rsidRDefault="002527B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A31BA5" w:rsidR="001E41F3" w:rsidRPr="00410371" w:rsidRDefault="00F44E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857B28" w:rsidR="001E41F3" w:rsidRPr="00410371" w:rsidRDefault="00F44E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56CA71" w:rsidR="00F25D98" w:rsidRDefault="00F44E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836F6F" w:rsidR="00F25D98" w:rsidRDefault="00F44E10" w:rsidP="00F44E1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61D319" w:rsidR="001E41F3" w:rsidRDefault="00B30128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Rel-18 CR for RACH-less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6B4E3E" w:rsidR="001E41F3" w:rsidRDefault="00F44E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2B40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75055" w14:textId="2137EA16" w:rsidR="00BE330B" w:rsidRDefault="00E13F3D" w:rsidP="00BE33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C63C11">
              <w:rPr>
                <w:lang w:val="en-US"/>
              </w:rPr>
              <w:instrText xml:space="preserve"> DOCPROPERTY  RelatedWis  \* MERGEFORMAT </w:instrText>
            </w:r>
            <w:r>
              <w:fldChar w:fldCharType="separate"/>
            </w:r>
            <w:r w:rsidR="00EE0B34" w:rsidRPr="009F6F74">
              <w:t>NR_mobile_IAB</w:t>
            </w:r>
            <w:r w:rsidR="00BE330B" w:rsidRPr="009F6F74">
              <w:rPr>
                <w:noProof/>
              </w:rPr>
              <w:t>-Core</w:t>
            </w:r>
            <w:r w:rsidR="00BE330B">
              <w:rPr>
                <w:noProof/>
              </w:rPr>
              <w:t>,</w:t>
            </w:r>
          </w:p>
          <w:p w14:paraId="115414A3" w14:textId="215F9E5C" w:rsidR="001E41F3" w:rsidRPr="00D04F09" w:rsidRDefault="00EE0B34">
            <w:pPr>
              <w:pStyle w:val="CRCoverPage"/>
              <w:spacing w:after="0"/>
              <w:ind w:left="100"/>
            </w:pPr>
            <w:r w:rsidRPr="002D7723">
              <w:t>NR_NT</w:t>
            </w:r>
            <w:r w:rsidR="00873286" w:rsidRPr="002D7723">
              <w:t>N_</w:t>
            </w:r>
            <w:r w:rsidR="00BE330B" w:rsidRPr="002D7723">
              <w:rPr>
                <w:noProof/>
              </w:rPr>
              <w:t>enh-Core</w:t>
            </w:r>
            <w:r w:rsidR="00BE330B" w:rsidRPr="00D04F09" w:rsidDel="00BE330B">
              <w:rPr>
                <w:noProof/>
                <w:lang w:val="en-US"/>
              </w:rPr>
              <w:t xml:space="preserve"> </w:t>
            </w:r>
            <w:r w:rsidR="00E13F3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E330B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D074DB" w:rsidR="001E41F3" w:rsidRDefault="008732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5C16A" w:rsidR="001E41F3" w:rsidRDefault="00EE0B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44519F" w:rsidR="001E41F3" w:rsidRDefault="008732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C12677" w:rsidR="001E41F3" w:rsidRDefault="00873286" w:rsidP="00873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38.213 does not properly reflect the argeed behavior for RACH-less handover for TN</w:t>
            </w:r>
            <w:r w:rsidR="002840D6">
              <w:rPr>
                <w:noProof/>
              </w:rPr>
              <w:t>, NTN</w:t>
            </w:r>
            <w:r>
              <w:rPr>
                <w:noProof/>
              </w:rPr>
              <w:t xml:space="preserve"> and mobile IAB per RAN2 LS in R1-</w:t>
            </w:r>
            <w:r w:rsidR="00112AD3" w:rsidRPr="00AB52F0">
              <w:rPr>
                <w:noProof/>
                <w:lang w:eastAsia="zh-CN"/>
              </w:rPr>
              <w:t>250512</w:t>
            </w:r>
            <w:r w:rsidR="00112AD3">
              <w:rPr>
                <w:noProof/>
                <w:lang w:eastAsia="zh-CN"/>
              </w:rPr>
              <w:t>0</w:t>
            </w:r>
            <w:r w:rsidR="005B3717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242A5D" w14:textId="744E0462" w:rsidR="001E41F3" w:rsidRDefault="00873286" w:rsidP="00873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Describing the proper target beams to use for RACH-less handover in Sec. </w:t>
            </w:r>
            <w:r w:rsidR="00DE0D8A">
              <w:rPr>
                <w:noProof/>
              </w:rPr>
              <w:t>7.1.1</w:t>
            </w:r>
            <w:r>
              <w:rPr>
                <w:noProof/>
              </w:rPr>
              <w:t xml:space="preserve"> of TS 38.213, accordin</w:t>
            </w:r>
            <w:r w:rsidR="00C05417">
              <w:rPr>
                <w:noProof/>
              </w:rPr>
              <w:t>g</w:t>
            </w:r>
            <w:r>
              <w:rPr>
                <w:noProof/>
              </w:rPr>
              <w:t xml:space="preserve"> to the RAN2 LS, i.e., </w:t>
            </w:r>
          </w:p>
          <w:p w14:paraId="03FD739A" w14:textId="77777777" w:rsidR="00873286" w:rsidRDefault="00873286" w:rsidP="008732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NTN, only SSB index is configured</w:t>
            </w:r>
          </w:p>
          <w:p w14:paraId="26E116FF" w14:textId="77777777" w:rsidR="00873286" w:rsidRDefault="00873286" w:rsidP="008732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Mobile IAB only TCI state index is configured</w:t>
            </w:r>
          </w:p>
          <w:p w14:paraId="31C656EC" w14:textId="275299C0" w:rsidR="00873286" w:rsidRDefault="00873286" w:rsidP="008732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TN, SSB index or TCI State can be configured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E7C8DB" w:rsidR="001E41F3" w:rsidRDefault="00873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desired and agreed behavior will 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338A42" w:rsidR="001E41F3" w:rsidRDefault="005B3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115425" w:rsidR="001E41F3" w:rsidRDefault="00873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D6006F" w:rsidR="001E41F3" w:rsidRDefault="00873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DB78DE" w:rsidR="001E41F3" w:rsidRDefault="00873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BE753D" w14:textId="77777777" w:rsidR="008D7010" w:rsidRDefault="008D7010">
      <w:pPr>
        <w:rPr>
          <w:noProof/>
        </w:rPr>
      </w:pPr>
    </w:p>
    <w:p w14:paraId="0D2B3DA7" w14:textId="77777777" w:rsidR="005A07BE" w:rsidRPr="00B916EC" w:rsidRDefault="005A07BE" w:rsidP="005A07BE">
      <w:pPr>
        <w:pStyle w:val="Heading3"/>
      </w:pPr>
      <w:bookmarkStart w:id="1" w:name="_Ref500774487"/>
      <w:bookmarkStart w:id="2" w:name="_Toc12021446"/>
      <w:bookmarkStart w:id="3" w:name="_Toc20311558"/>
      <w:bookmarkStart w:id="4" w:name="_Toc26719383"/>
      <w:bookmarkStart w:id="5" w:name="_Toc29894814"/>
      <w:bookmarkStart w:id="6" w:name="_Toc29899113"/>
      <w:bookmarkStart w:id="7" w:name="_Toc29899531"/>
      <w:bookmarkStart w:id="8" w:name="_Toc29917268"/>
      <w:bookmarkStart w:id="9" w:name="_Toc36498142"/>
      <w:bookmarkStart w:id="10" w:name="_Toc45699168"/>
      <w:bookmarkStart w:id="11" w:name="_Toc192000793"/>
      <w:bookmarkStart w:id="12" w:name="_Ref497117847"/>
      <w:r w:rsidRPr="00B916EC">
        <w:t>7.1.1</w:t>
      </w:r>
      <w:r w:rsidRPr="00B916EC">
        <w:tab/>
        <w:t>UE behaviour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2"/>
    <w:p w14:paraId="70EFDEC1" w14:textId="77777777" w:rsidR="007134E4" w:rsidRDefault="007134E4">
      <w:pPr>
        <w:jc w:val="center"/>
        <w:rPr>
          <w:ins w:id="13" w:author="Author"/>
          <w:lang w:eastAsia="zh-CN"/>
        </w:rPr>
        <w:pPrChange w:id="14" w:author="Author">
          <w:pPr/>
        </w:pPrChange>
      </w:pPr>
      <w:ins w:id="15" w:author="Author">
        <w:r w:rsidRPr="00687CD1">
          <w:rPr>
            <w:color w:val="FF0000"/>
            <w:lang w:eastAsia="zh-CN"/>
          </w:rPr>
          <w:t xml:space="preserve">*** </w:t>
        </w:r>
        <w:r w:rsidRPr="00687CD1">
          <w:rPr>
            <w:color w:val="FF0000"/>
          </w:rPr>
          <w:t>Unchanged parts are omitted</w:t>
        </w:r>
        <w:r w:rsidRPr="00687CD1">
          <w:rPr>
            <w:color w:val="FF0000"/>
            <w:lang w:eastAsia="zh-CN"/>
          </w:rPr>
          <w:t xml:space="preserve"> ***</w:t>
        </w:r>
      </w:ins>
    </w:p>
    <w:p w14:paraId="2A9C320C" w14:textId="77777777" w:rsidR="005A07BE" w:rsidRDefault="005A07BE">
      <w:pPr>
        <w:rPr>
          <w:noProof/>
        </w:rPr>
      </w:pPr>
    </w:p>
    <w:p w14:paraId="25036372" w14:textId="77777777" w:rsidR="002E0761" w:rsidRDefault="002E0761" w:rsidP="002E0761">
      <w:pPr>
        <w:pStyle w:val="B2"/>
        <w:rPr>
          <w:iCs/>
        </w:rPr>
      </w:pPr>
      <w:r>
        <w:t>-</w:t>
      </w:r>
      <w:r>
        <w:tab/>
        <w:t xml:space="preserve">If the UE is not provided </w:t>
      </w:r>
      <w:r w:rsidRPr="005B3110">
        <w:rPr>
          <w:i/>
        </w:rPr>
        <w:t>PUSCH-PathlossReferenceRS</w:t>
      </w:r>
      <w:r>
        <w:rPr>
          <w:rFonts w:eastAsia="MS Mincho"/>
        </w:rPr>
        <w:t xml:space="preserve"> </w:t>
      </w:r>
      <w:r>
        <w:rPr>
          <w:lang w:val="en-US"/>
        </w:rPr>
        <w:t>and</w:t>
      </w:r>
      <w:r w:rsidRPr="00E37D08">
        <w:t xml:space="preserve"> </w:t>
      </w:r>
      <w:r w:rsidRPr="00E37D08">
        <w:rPr>
          <w:i/>
          <w:iCs/>
        </w:rPr>
        <w:t>enableDefaultBeamP</w:t>
      </w:r>
      <w:r>
        <w:rPr>
          <w:i/>
          <w:iCs/>
          <w:lang w:val="en-US"/>
        </w:rPr>
        <w:t>L-</w:t>
      </w:r>
      <w:r w:rsidRPr="00E37D08">
        <w:rPr>
          <w:i/>
          <w:iCs/>
        </w:rPr>
        <w:t>ForSRS</w:t>
      </w:r>
      <w:r>
        <w:rPr>
          <w:lang w:val="en-US"/>
        </w:rPr>
        <w:t>,</w:t>
      </w:r>
      <w:r w:rsidRPr="00E37D08">
        <w:rPr>
          <w:i/>
          <w:iCs/>
        </w:rPr>
        <w:t xml:space="preserve"> </w:t>
      </w:r>
      <w:r>
        <w:rPr>
          <w:rFonts w:eastAsia="MS Mincho"/>
          <w:lang w:val="en-US"/>
        </w:rPr>
        <w:t>or</w:t>
      </w:r>
      <w:r>
        <w:rPr>
          <w:rFonts w:eastAsia="MS Mincho"/>
        </w:rPr>
        <w:t xml:space="preserve"> before the UE is provided dedicated higher layer parameters</w:t>
      </w:r>
      <w:r w:rsidRPr="00B916EC">
        <w:rPr>
          <w:iCs/>
        </w:rPr>
        <w:t xml:space="preserve">, </w:t>
      </w:r>
      <w:r>
        <w:rPr>
          <w:iCs/>
        </w:rPr>
        <w:t xml:space="preserve">the UE calculates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>
        <w:rPr>
          <w:iCs/>
        </w:rPr>
        <w:t xml:space="preserve"> </w:t>
      </w:r>
    </w:p>
    <w:p w14:paraId="0E0ADEEA" w14:textId="77777777" w:rsidR="002E0761" w:rsidRPr="001A0F7C" w:rsidRDefault="002E0761" w:rsidP="002E0761">
      <w:pPr>
        <w:pStyle w:val="B3"/>
        <w:rPr>
          <w:i/>
          <w:lang w:val="en-US"/>
        </w:rPr>
      </w:pPr>
      <w:r>
        <w:t>-</w:t>
      </w:r>
      <w:r>
        <w:tab/>
        <w:t>using a RS resource</w:t>
      </w:r>
      <w:r>
        <w:rPr>
          <w:lang w:val="en-US"/>
        </w:rPr>
        <w:t xml:space="preserve"> </w:t>
      </w:r>
      <w:r>
        <w:t xml:space="preserve">from </w:t>
      </w:r>
      <w:r>
        <w:rPr>
          <w:lang w:val="en-US"/>
        </w:rPr>
        <w:t>an</w:t>
      </w:r>
      <w:r>
        <w:t xml:space="preserve"> SS/PBCH block </w:t>
      </w:r>
      <w:r w:rsidRPr="007E77FC">
        <w:rPr>
          <w:rFonts w:eastAsia="MS Mincho"/>
        </w:rPr>
        <w:t>with same SS/PBCH block index as the one</w:t>
      </w:r>
      <w:r>
        <w:t xml:space="preserve"> the UE </w:t>
      </w:r>
      <w:r>
        <w:rPr>
          <w:lang w:val="en-US"/>
        </w:rPr>
        <w:t xml:space="preserve">uses to </w:t>
      </w:r>
      <w:r>
        <w:t xml:space="preserve">obtain </w:t>
      </w:r>
      <w:r>
        <w:rPr>
          <w:i/>
          <w:lang w:val="en-US"/>
        </w:rPr>
        <w:t>MIB</w:t>
      </w:r>
      <w:r w:rsidRPr="00B54C25">
        <w:rPr>
          <w:iCs/>
          <w:lang w:val="en-US"/>
        </w:rPr>
        <w:t>, or using the SS/PBCH block the UE acquired the time and frequency synchronization for a secondary cell.</w:t>
      </w:r>
    </w:p>
    <w:p w14:paraId="521669F5" w14:textId="01AB3A16" w:rsidR="002E0761" w:rsidRDefault="002E0761" w:rsidP="002E0761">
      <w:pPr>
        <w:pStyle w:val="B3"/>
        <w:rPr>
          <w:ins w:id="16" w:author="Author"/>
          <w:i/>
        </w:rPr>
      </w:pPr>
      <w:r w:rsidRPr="001A0F7C">
        <w:t>-</w:t>
      </w:r>
      <w:r w:rsidRPr="001A0F7C">
        <w:tab/>
        <w:t>if the UE</w:t>
      </w:r>
      <w:ins w:id="17" w:author="Author">
        <w:r w:rsidR="00D25DA1">
          <w:t>,</w:t>
        </w:r>
        <w:r w:rsidR="0059252D">
          <w:t xml:space="preserve"> </w:t>
        </w:r>
        <w:r w:rsidR="0059252D" w:rsidRPr="00790CD5">
          <w:rPr>
            <w:color w:val="000000" w:themeColor="text1"/>
          </w:rPr>
          <w:t>with exception of</w:t>
        </w:r>
        <w:r w:rsidR="0059252D" w:rsidRPr="00790CD5">
          <w:rPr>
            <w:color w:val="000000" w:themeColor="text1"/>
            <w:lang w:val="en-US"/>
          </w:rPr>
          <w:t xml:space="preserve"> IAB-MT</w:t>
        </w:r>
        <w:r w:rsidR="0059252D">
          <w:rPr>
            <w:color w:val="000000" w:themeColor="text1"/>
            <w:lang w:val="en-US"/>
          </w:rPr>
          <w:t>,</w:t>
        </w:r>
      </w:ins>
      <w:r w:rsidRPr="001A0F7C">
        <w:t xml:space="preserve"> is provided </w:t>
      </w:r>
      <w:r w:rsidRPr="001A0F7C">
        <w:rPr>
          <w:i/>
        </w:rPr>
        <w:t>RACH-LessHO</w:t>
      </w:r>
      <w:r w:rsidRPr="001A0F7C">
        <w:t xml:space="preserve"> in </w:t>
      </w:r>
      <w:r w:rsidRPr="001A0F7C">
        <w:rPr>
          <w:i/>
        </w:rPr>
        <w:t>ReconfigurationWithSync</w:t>
      </w:r>
      <w:r w:rsidRPr="001A0F7C">
        <w:t xml:space="preserve"> [12. TS 38.331], using a RS resource</w:t>
      </w:r>
      <w:r w:rsidRPr="001A0F7C">
        <w:rPr>
          <w:lang w:val="en-US"/>
        </w:rPr>
        <w:t xml:space="preserve"> </w:t>
      </w:r>
      <w:r w:rsidRPr="001A0F7C">
        <w:t xml:space="preserve">from </w:t>
      </w:r>
      <w:r w:rsidRPr="001A0F7C">
        <w:rPr>
          <w:lang w:val="en-US"/>
        </w:rPr>
        <w:t>an</w:t>
      </w:r>
      <w:r w:rsidRPr="001A0F7C">
        <w:t xml:space="preserve"> SS/PBCH block </w:t>
      </w:r>
      <w:r w:rsidRPr="001A0F7C">
        <w:rPr>
          <w:rFonts w:eastAsia="MS Mincho"/>
        </w:rPr>
        <w:t xml:space="preserve">with same SS/PBCH block index as the one with same </w:t>
      </w:r>
      <w:r w:rsidRPr="001A0F7C">
        <w:t xml:space="preserve">quasi co-location properties as for PDCCH receptions for scheduling an initial PUSCH transmission, as described in Clause 10.1, in </w:t>
      </w:r>
      <w:r w:rsidRPr="001A0F7C">
        <w:rPr>
          <w:i/>
        </w:rPr>
        <w:t>controlResourceSetZero</w:t>
      </w:r>
      <w:r w:rsidRPr="001A0F7C">
        <w:t xml:space="preserve"> provided in </w:t>
      </w:r>
      <w:r w:rsidRPr="001A0F7C">
        <w:rPr>
          <w:i/>
        </w:rPr>
        <w:t>ServingCellConfigCommon</w:t>
      </w:r>
      <w:r w:rsidRPr="001A0F7C">
        <w:t xml:space="preserve"> of </w:t>
      </w:r>
      <w:r w:rsidRPr="001A0F7C">
        <w:rPr>
          <w:i/>
        </w:rPr>
        <w:t>ReconfigurationWithSync</w:t>
      </w:r>
    </w:p>
    <w:p w14:paraId="2B8BFB3E" w14:textId="6436887D" w:rsidR="00393BC2" w:rsidRPr="00790CD5" w:rsidRDefault="00393BC2" w:rsidP="00393BC2">
      <w:pPr>
        <w:pStyle w:val="B3"/>
        <w:spacing w:before="120"/>
        <w:rPr>
          <w:ins w:id="18" w:author="Author"/>
          <w:i/>
          <w:color w:val="000000" w:themeColor="text1"/>
        </w:rPr>
      </w:pPr>
      <w:ins w:id="19" w:author="Author">
        <w:r w:rsidRPr="00790CD5">
          <w:rPr>
            <w:color w:val="000000" w:themeColor="text1"/>
          </w:rPr>
          <w:t>-</w:t>
        </w:r>
        <w:r w:rsidRPr="00790CD5">
          <w:rPr>
            <w:color w:val="000000" w:themeColor="text1"/>
          </w:rPr>
          <w:tab/>
          <w:t>if the U</w:t>
        </w:r>
        <w:r w:rsidR="00613426">
          <w:rPr>
            <w:color w:val="000000" w:themeColor="text1"/>
          </w:rPr>
          <w:t>E</w:t>
        </w:r>
        <w:r w:rsidR="007D5637">
          <w:rPr>
            <w:color w:val="000000" w:themeColor="text1"/>
          </w:rPr>
          <w:t xml:space="preserve"> that operates on a non-NTN serving cell </w:t>
        </w:r>
        <w:r w:rsidRPr="00790CD5">
          <w:rPr>
            <w:color w:val="000000" w:themeColor="text1"/>
          </w:rPr>
          <w:t xml:space="preserve">is provided </w:t>
        </w:r>
        <w:r w:rsidRPr="00790CD5">
          <w:rPr>
            <w:i/>
            <w:iCs/>
            <w:color w:val="000000" w:themeColor="text1"/>
          </w:rPr>
          <w:t>tci-StateID</w:t>
        </w:r>
        <w:r w:rsidRPr="00790CD5">
          <w:rPr>
            <w:color w:val="000000" w:themeColor="text1"/>
          </w:rPr>
          <w:t xml:space="preserve"> in</w:t>
        </w:r>
        <w:r w:rsidRPr="00790CD5">
          <w:rPr>
            <w:noProof/>
            <w:color w:val="000000" w:themeColor="text1"/>
          </w:rPr>
          <w:t xml:space="preserve"> </w:t>
        </w:r>
        <w:r w:rsidRPr="00790CD5">
          <w:rPr>
            <w:i/>
            <w:color w:val="000000" w:themeColor="text1"/>
          </w:rPr>
          <w:t>RACH-LessHO</w:t>
        </w:r>
        <w:r w:rsidRPr="00790CD5">
          <w:rPr>
            <w:color w:val="000000" w:themeColor="text1"/>
          </w:rPr>
          <w:t xml:space="preserve"> in </w:t>
        </w:r>
        <w:r w:rsidRPr="00790CD5">
          <w:rPr>
            <w:i/>
            <w:color w:val="000000" w:themeColor="text1"/>
          </w:rPr>
          <w:t>ReconfigurationWithSync</w:t>
        </w:r>
        <w:r w:rsidRPr="00790CD5">
          <w:rPr>
            <w:color w:val="000000" w:themeColor="text1"/>
          </w:rPr>
          <w:t xml:space="preserve"> [12. TS 38.331], the UE assumes that a DM-RS antenna port for PDCCH receptions in the CORESET is quasi co-located with </w:t>
        </w:r>
        <w:r w:rsidRPr="00790CD5">
          <w:rPr>
            <w:color w:val="000000" w:themeColor="text1"/>
            <w:lang w:val="en-US"/>
          </w:rPr>
          <w:t xml:space="preserve">one or more DL RS </w:t>
        </w:r>
        <w:r w:rsidRPr="00790CD5">
          <w:rPr>
            <w:color w:val="000000" w:themeColor="text1"/>
            <w:lang w:val="en-US" w:eastAsia="zh-CN"/>
          </w:rPr>
          <w:t xml:space="preserve">configured by </w:t>
        </w:r>
        <w:r w:rsidRPr="00790CD5">
          <w:rPr>
            <w:i/>
            <w:iCs/>
            <w:color w:val="000000" w:themeColor="text1"/>
          </w:rPr>
          <w:t>tci-StateID</w:t>
        </w:r>
        <w:r w:rsidRPr="00790CD5">
          <w:rPr>
            <w:color w:val="000000" w:themeColor="text1"/>
          </w:rPr>
          <w:t xml:space="preserve"> for scheduling an initial PUSCH transmission, as described in Clause 10.1, in </w:t>
        </w:r>
        <w:r w:rsidRPr="00790CD5">
          <w:rPr>
            <w:i/>
            <w:color w:val="000000" w:themeColor="text1"/>
          </w:rPr>
          <w:t>controlResourceSetZero</w:t>
        </w:r>
        <w:r w:rsidRPr="00790CD5">
          <w:rPr>
            <w:color w:val="000000" w:themeColor="text1"/>
          </w:rPr>
          <w:t xml:space="preserve"> provided in </w:t>
        </w:r>
        <w:r w:rsidRPr="00790CD5">
          <w:rPr>
            <w:i/>
            <w:color w:val="000000" w:themeColor="text1"/>
          </w:rPr>
          <w:t>ServingCellConfigCommon</w:t>
        </w:r>
        <w:r w:rsidRPr="00790CD5">
          <w:rPr>
            <w:color w:val="000000" w:themeColor="text1"/>
          </w:rPr>
          <w:t xml:space="preserve"> of </w:t>
        </w:r>
        <w:r w:rsidRPr="00790CD5">
          <w:rPr>
            <w:i/>
            <w:color w:val="000000" w:themeColor="text1"/>
          </w:rPr>
          <w:t>ReconfigurationWithSync</w:t>
        </w:r>
        <w:r w:rsidR="000E74E9">
          <w:rPr>
            <w:i/>
            <w:color w:val="000000" w:themeColor="text1"/>
          </w:rPr>
          <w:t>.</w:t>
        </w:r>
        <w:r w:rsidR="00652DCF">
          <w:rPr>
            <w:i/>
            <w:color w:val="000000" w:themeColor="text1"/>
          </w:rPr>
          <w:t xml:space="preserve"> </w:t>
        </w:r>
        <w:r w:rsidR="00B72CBF">
          <w:t>Clause 22 describes the UE behavio</w:t>
        </w:r>
        <w:r w:rsidR="004B7107">
          <w:t>u</w:t>
        </w:r>
        <w:r w:rsidR="00B72CBF">
          <w:t>r when operating on an NTN serving cell.</w:t>
        </w:r>
      </w:ins>
    </w:p>
    <w:p w14:paraId="0592F57C" w14:textId="77777777" w:rsidR="00393BC2" w:rsidRDefault="00393BC2" w:rsidP="002E0761">
      <w:pPr>
        <w:pStyle w:val="B3"/>
      </w:pPr>
    </w:p>
    <w:p w14:paraId="525CF3B4" w14:textId="77777777" w:rsidR="007134E4" w:rsidRDefault="007134E4">
      <w:pPr>
        <w:jc w:val="center"/>
        <w:rPr>
          <w:ins w:id="20" w:author="Author"/>
          <w:lang w:eastAsia="zh-CN"/>
        </w:rPr>
        <w:pPrChange w:id="21" w:author="Author">
          <w:pPr/>
        </w:pPrChange>
      </w:pPr>
      <w:ins w:id="22" w:author="Author">
        <w:r w:rsidRPr="00687CD1">
          <w:rPr>
            <w:color w:val="FF0000"/>
            <w:lang w:eastAsia="zh-CN"/>
          </w:rPr>
          <w:t xml:space="preserve">*** </w:t>
        </w:r>
        <w:r w:rsidRPr="00687CD1">
          <w:rPr>
            <w:color w:val="FF0000"/>
          </w:rPr>
          <w:t>Unchanged parts are omitted</w:t>
        </w:r>
        <w:r w:rsidRPr="00687CD1">
          <w:rPr>
            <w:color w:val="FF0000"/>
            <w:lang w:eastAsia="zh-CN"/>
          </w:rPr>
          <w:t xml:space="preserve"> ***</w:t>
        </w:r>
      </w:ins>
    </w:p>
    <w:p w14:paraId="17D859B3" w14:textId="77777777" w:rsidR="008D7010" w:rsidRDefault="008D7010">
      <w:pPr>
        <w:rPr>
          <w:noProof/>
        </w:rPr>
      </w:pPr>
    </w:p>
    <w:sectPr w:rsidR="008D701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ED78D" w14:textId="77777777" w:rsidR="008F4C3A" w:rsidRDefault="008F4C3A">
      <w:r>
        <w:separator/>
      </w:r>
    </w:p>
  </w:endnote>
  <w:endnote w:type="continuationSeparator" w:id="0">
    <w:p w14:paraId="72B1610C" w14:textId="77777777" w:rsidR="008F4C3A" w:rsidRDefault="008F4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CE49F" w14:textId="77777777" w:rsidR="008F4C3A" w:rsidRDefault="008F4C3A">
      <w:r>
        <w:separator/>
      </w:r>
    </w:p>
  </w:footnote>
  <w:footnote w:type="continuationSeparator" w:id="0">
    <w:p w14:paraId="148EBD56" w14:textId="77777777" w:rsidR="008F4C3A" w:rsidRDefault="008F4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2F113A"/>
    <w:multiLevelType w:val="hybridMultilevel"/>
    <w:tmpl w:val="530C44B2"/>
    <w:lvl w:ilvl="0" w:tplc="9C76C3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98487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removePersonalInformation/>
  <w:removeDateAndTime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66"/>
    <w:rsid w:val="00022E4A"/>
    <w:rsid w:val="0003201D"/>
    <w:rsid w:val="00035570"/>
    <w:rsid w:val="0003602D"/>
    <w:rsid w:val="000414C4"/>
    <w:rsid w:val="00070E09"/>
    <w:rsid w:val="0008724F"/>
    <w:rsid w:val="00090DA4"/>
    <w:rsid w:val="000A13CB"/>
    <w:rsid w:val="000A6394"/>
    <w:rsid w:val="000B7FED"/>
    <w:rsid w:val="000C038A"/>
    <w:rsid w:val="000C6598"/>
    <w:rsid w:val="000D44B3"/>
    <w:rsid w:val="000E74E9"/>
    <w:rsid w:val="0010118D"/>
    <w:rsid w:val="00106722"/>
    <w:rsid w:val="00112AD3"/>
    <w:rsid w:val="00135E48"/>
    <w:rsid w:val="00145D43"/>
    <w:rsid w:val="001713F6"/>
    <w:rsid w:val="001861F7"/>
    <w:rsid w:val="00192C46"/>
    <w:rsid w:val="001A08B3"/>
    <w:rsid w:val="001A7B60"/>
    <w:rsid w:val="001B52F0"/>
    <w:rsid w:val="001B7A65"/>
    <w:rsid w:val="001D5E00"/>
    <w:rsid w:val="001E245B"/>
    <w:rsid w:val="001E2A8A"/>
    <w:rsid w:val="001E41F3"/>
    <w:rsid w:val="002352D8"/>
    <w:rsid w:val="002527BE"/>
    <w:rsid w:val="0025481B"/>
    <w:rsid w:val="0026004D"/>
    <w:rsid w:val="002640DD"/>
    <w:rsid w:val="00275D12"/>
    <w:rsid w:val="002840D6"/>
    <w:rsid w:val="00284FEB"/>
    <w:rsid w:val="002860C4"/>
    <w:rsid w:val="002B0879"/>
    <w:rsid w:val="002B5741"/>
    <w:rsid w:val="002E0761"/>
    <w:rsid w:val="002E472E"/>
    <w:rsid w:val="00305409"/>
    <w:rsid w:val="003201AB"/>
    <w:rsid w:val="003609EF"/>
    <w:rsid w:val="0036231A"/>
    <w:rsid w:val="00374DD4"/>
    <w:rsid w:val="003776D1"/>
    <w:rsid w:val="00383142"/>
    <w:rsid w:val="00393BC2"/>
    <w:rsid w:val="003C0C3C"/>
    <w:rsid w:val="003C4060"/>
    <w:rsid w:val="003E1A36"/>
    <w:rsid w:val="00403F69"/>
    <w:rsid w:val="00410371"/>
    <w:rsid w:val="004168BF"/>
    <w:rsid w:val="00421E4E"/>
    <w:rsid w:val="004242F1"/>
    <w:rsid w:val="0045175D"/>
    <w:rsid w:val="004808F4"/>
    <w:rsid w:val="004A4782"/>
    <w:rsid w:val="004B5FD7"/>
    <w:rsid w:val="004B7107"/>
    <w:rsid w:val="004B75B7"/>
    <w:rsid w:val="004C5014"/>
    <w:rsid w:val="004D4505"/>
    <w:rsid w:val="004D4A27"/>
    <w:rsid w:val="005141D9"/>
    <w:rsid w:val="0051580D"/>
    <w:rsid w:val="00530586"/>
    <w:rsid w:val="00547111"/>
    <w:rsid w:val="00561DC3"/>
    <w:rsid w:val="00583D97"/>
    <w:rsid w:val="00586872"/>
    <w:rsid w:val="0059252D"/>
    <w:rsid w:val="00592D74"/>
    <w:rsid w:val="005A07BE"/>
    <w:rsid w:val="005B3717"/>
    <w:rsid w:val="005D1EE5"/>
    <w:rsid w:val="005D20AF"/>
    <w:rsid w:val="005E2C44"/>
    <w:rsid w:val="006105BC"/>
    <w:rsid w:val="00613426"/>
    <w:rsid w:val="00614821"/>
    <w:rsid w:val="00621188"/>
    <w:rsid w:val="006257ED"/>
    <w:rsid w:val="00632561"/>
    <w:rsid w:val="00637FF1"/>
    <w:rsid w:val="00652DCF"/>
    <w:rsid w:val="00653DE4"/>
    <w:rsid w:val="00665C47"/>
    <w:rsid w:val="00695808"/>
    <w:rsid w:val="006B1AA2"/>
    <w:rsid w:val="006B46FB"/>
    <w:rsid w:val="006E21FB"/>
    <w:rsid w:val="006F0E6E"/>
    <w:rsid w:val="007042C3"/>
    <w:rsid w:val="00706502"/>
    <w:rsid w:val="007116ED"/>
    <w:rsid w:val="007134E4"/>
    <w:rsid w:val="007633F5"/>
    <w:rsid w:val="00792342"/>
    <w:rsid w:val="007977A8"/>
    <w:rsid w:val="007B512A"/>
    <w:rsid w:val="007C2097"/>
    <w:rsid w:val="007D433F"/>
    <w:rsid w:val="007D5637"/>
    <w:rsid w:val="007D6A07"/>
    <w:rsid w:val="007F7259"/>
    <w:rsid w:val="008040A8"/>
    <w:rsid w:val="008279FA"/>
    <w:rsid w:val="00832D7C"/>
    <w:rsid w:val="008460DA"/>
    <w:rsid w:val="00846979"/>
    <w:rsid w:val="00847F44"/>
    <w:rsid w:val="008626E7"/>
    <w:rsid w:val="00867D6B"/>
    <w:rsid w:val="00870EE7"/>
    <w:rsid w:val="00873286"/>
    <w:rsid w:val="00873B94"/>
    <w:rsid w:val="008863B9"/>
    <w:rsid w:val="008A0F42"/>
    <w:rsid w:val="008A45A6"/>
    <w:rsid w:val="008D3CCC"/>
    <w:rsid w:val="008D7010"/>
    <w:rsid w:val="008F3789"/>
    <w:rsid w:val="008F4C3A"/>
    <w:rsid w:val="008F686C"/>
    <w:rsid w:val="009148DE"/>
    <w:rsid w:val="00941E30"/>
    <w:rsid w:val="00943BC5"/>
    <w:rsid w:val="009531B0"/>
    <w:rsid w:val="009741B3"/>
    <w:rsid w:val="009777D9"/>
    <w:rsid w:val="00991B88"/>
    <w:rsid w:val="009A5753"/>
    <w:rsid w:val="009A579D"/>
    <w:rsid w:val="009E3297"/>
    <w:rsid w:val="009E62E2"/>
    <w:rsid w:val="009F734F"/>
    <w:rsid w:val="00A246B6"/>
    <w:rsid w:val="00A47E70"/>
    <w:rsid w:val="00A50CF0"/>
    <w:rsid w:val="00A56A92"/>
    <w:rsid w:val="00A72486"/>
    <w:rsid w:val="00A7671C"/>
    <w:rsid w:val="00A8462F"/>
    <w:rsid w:val="00A950F9"/>
    <w:rsid w:val="00AA1035"/>
    <w:rsid w:val="00AA2CBC"/>
    <w:rsid w:val="00AB4465"/>
    <w:rsid w:val="00AC5820"/>
    <w:rsid w:val="00AD1CD8"/>
    <w:rsid w:val="00AD4D35"/>
    <w:rsid w:val="00B258BB"/>
    <w:rsid w:val="00B30128"/>
    <w:rsid w:val="00B53B6A"/>
    <w:rsid w:val="00B5566A"/>
    <w:rsid w:val="00B67B97"/>
    <w:rsid w:val="00B72CBF"/>
    <w:rsid w:val="00B968C8"/>
    <w:rsid w:val="00BA1210"/>
    <w:rsid w:val="00BA3EC5"/>
    <w:rsid w:val="00BA51D9"/>
    <w:rsid w:val="00BB06B4"/>
    <w:rsid w:val="00BB5DFC"/>
    <w:rsid w:val="00BC5B46"/>
    <w:rsid w:val="00BD279D"/>
    <w:rsid w:val="00BD6BB8"/>
    <w:rsid w:val="00BE330B"/>
    <w:rsid w:val="00BE4849"/>
    <w:rsid w:val="00C05417"/>
    <w:rsid w:val="00C162C5"/>
    <w:rsid w:val="00C352E3"/>
    <w:rsid w:val="00C63C11"/>
    <w:rsid w:val="00C66BA2"/>
    <w:rsid w:val="00C870F6"/>
    <w:rsid w:val="00C907B5"/>
    <w:rsid w:val="00C95985"/>
    <w:rsid w:val="00CB45E4"/>
    <w:rsid w:val="00CB4C68"/>
    <w:rsid w:val="00CC23FD"/>
    <w:rsid w:val="00CC5026"/>
    <w:rsid w:val="00CC68D0"/>
    <w:rsid w:val="00CD620B"/>
    <w:rsid w:val="00CD793D"/>
    <w:rsid w:val="00CE019C"/>
    <w:rsid w:val="00CF627D"/>
    <w:rsid w:val="00CF79ED"/>
    <w:rsid w:val="00D03F9A"/>
    <w:rsid w:val="00D04F09"/>
    <w:rsid w:val="00D06D51"/>
    <w:rsid w:val="00D24991"/>
    <w:rsid w:val="00D25DA1"/>
    <w:rsid w:val="00D34681"/>
    <w:rsid w:val="00D4320A"/>
    <w:rsid w:val="00D50255"/>
    <w:rsid w:val="00D66520"/>
    <w:rsid w:val="00D84AE9"/>
    <w:rsid w:val="00D9089F"/>
    <w:rsid w:val="00D9124E"/>
    <w:rsid w:val="00DE0D8A"/>
    <w:rsid w:val="00DE34CF"/>
    <w:rsid w:val="00E13F3D"/>
    <w:rsid w:val="00E20575"/>
    <w:rsid w:val="00E272BF"/>
    <w:rsid w:val="00E30E96"/>
    <w:rsid w:val="00E34898"/>
    <w:rsid w:val="00E51C84"/>
    <w:rsid w:val="00E84EF2"/>
    <w:rsid w:val="00E85142"/>
    <w:rsid w:val="00EA2FB6"/>
    <w:rsid w:val="00EB09B7"/>
    <w:rsid w:val="00EB0B55"/>
    <w:rsid w:val="00EE0B34"/>
    <w:rsid w:val="00EE7D7C"/>
    <w:rsid w:val="00F25D98"/>
    <w:rsid w:val="00F300FB"/>
    <w:rsid w:val="00F370D2"/>
    <w:rsid w:val="00F44E10"/>
    <w:rsid w:val="00F65007"/>
    <w:rsid w:val="00F76CD9"/>
    <w:rsid w:val="00F94DD0"/>
    <w:rsid w:val="00FB5677"/>
    <w:rsid w:val="00FB6386"/>
    <w:rsid w:val="00FF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70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B06B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B06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CA669-5893-4127-8270-29DDB6904A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CCAD1B-4FB0-4B24-9C17-069D04FEB4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E62DB29-581F-4CC8-8405-A203D80789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180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/>
  <cp:revision>3</cp:revision>
  <cp:lastPrinted>1900-01-01T08:00:00Z</cp:lastPrinted>
  <dcterms:created xsi:type="dcterms:W3CDTF">2025-10-02T08:01:00Z</dcterms:created>
  <dcterms:modified xsi:type="dcterms:W3CDTF">2025-10-03T17:14:00Z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